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46C42" w14:textId="77777777" w:rsid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36"/>
          <w:sz w:val="48"/>
          <w:szCs w:val="48"/>
          <w:lang w:eastAsia="pl-PL"/>
          <w14:ligatures w14:val="none"/>
        </w:rPr>
      </w:pPr>
      <w:r w:rsidRPr="0063359A">
        <w:rPr>
          <w:rFonts w:ascii="var(--wb-font-title)" w:eastAsia="Times New Roman" w:hAnsi="var(--wb-font-title)" w:cs="Times New Roman"/>
          <w:kern w:val="36"/>
          <w:sz w:val="48"/>
          <w:szCs w:val="48"/>
          <w:lang w:eastAsia="pl-PL"/>
          <w14:ligatures w14:val="none"/>
        </w:rPr>
        <w:t>Informacje prawne</w:t>
      </w:r>
    </w:p>
    <w:p w14:paraId="266DA6E9" w14:textId="77777777" w:rsid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36"/>
          <w:sz w:val="48"/>
          <w:szCs w:val="48"/>
          <w:lang w:eastAsia="pl-PL"/>
          <w14:ligatures w14:val="none"/>
        </w:rPr>
      </w:pPr>
    </w:p>
    <w:p w14:paraId="07182BB2" w14:textId="77777777" w:rsidR="0063359A" w:rsidRP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36"/>
          <w:sz w:val="48"/>
          <w:szCs w:val="48"/>
          <w:lang w:eastAsia="pl-PL"/>
          <w14:ligatures w14:val="none"/>
        </w:rPr>
      </w:pPr>
    </w:p>
    <w:p w14:paraId="5649D95F" w14:textId="4550FE17" w:rsid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</w:pPr>
      <w:r w:rsidRPr="0063359A"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  <w:t>Prawa autorskie</w:t>
      </w:r>
    </w:p>
    <w:p w14:paraId="16CCA9AC" w14:textId="77777777" w:rsidR="0063359A" w:rsidRP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</w:pPr>
    </w:p>
    <w:p w14:paraId="6A24F098" w14:textId="77777777" w:rsid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Wszystkie prawa zastrzeżone. Wszystkie teksty, zdjęcia, grafika, pliki dźwiękowe, pliki z animacją, pliki video i ich układ na stronach internetowych Mercedes-Benz Group AG podlegają ochronie prawem autorskim oraz innymi przepisami dotyczącymi ochrony własności intelektualnej. Zabronione jest kopiowanie tych obiektów w celach komercyjnych lub w celu dalszego rozpowszechniania, nie dozwolone jest także ich modyfikowanie lub umieszczanie na innych stronach internetowych. Niektóre strony internetowe Mercedes-Benz Group AG zawierają również materiały, objęte prawami autorskimi podmiotów, które udostępniły je do umieszczenia na stronach internetowych.</w:t>
      </w:r>
    </w:p>
    <w:p w14:paraId="47D04FEC" w14:textId="77777777" w:rsid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</w:p>
    <w:p w14:paraId="429AB099" w14:textId="77777777" w:rsidR="0063359A" w:rsidRP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</w:p>
    <w:p w14:paraId="262EE451" w14:textId="4375C270" w:rsid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</w:pPr>
      <w:r w:rsidRPr="0063359A"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  <w:t>Produkty i ceny</w:t>
      </w:r>
    </w:p>
    <w:p w14:paraId="7DAF1A98" w14:textId="77777777" w:rsidR="0063359A" w:rsidRP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</w:pPr>
    </w:p>
    <w:p w14:paraId="6FF9BCE2" w14:textId="77777777" w:rsid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Po zakończeniu opracowania redakcyjnego poszczególnych stron mogły nastąpić zmiany dotyczące produktów i usług. W okresie dostawy producent zastrzega sobie prawo do zmian konstrukcyjnych, formalnych oraz różnic w kolorach, a także do zmian w zakresie dostawy i świadczeń, o ile te zmiany i różnice, uwzględniając interesy firmy Mercedes-Benz Group AG, są obiektywnie akceptowalne dla klienta. Ilustracje mogą zawierać wyposażenie dodatkowe, akcesoria oraz inne elementy nienależące do standardowego zakresu dostawy bądź świadczeń. Różnice w odcieniach barw uwarunkowane są względami technicznymi. Poszczególne strony mogą zawierać typy i usługi niedostępne w ofercie w niektórych krajach. Wzmiankowane przepisy ustawowe i podatkowe oraz ich skutki prawne obowiązują jedynie w Niemczech. Z zastrzeżeniem inaczej brzmiącej regulacji w warunkach sprzedaży lub dostawy, obowiązują ceny ważne w dniu dostawy. Przedstawione informacje o produktach i usługach, w tym w szczególności ceny i warunki finansowania, nie stanowią oferty w rozumieniu przepisów kodeksu cywilnego. W celu uzyskania informacji o aktualnie dostępnych produktach, usługach, cenach i warunkach finansowania należy zwrócić się do autoryzowanego dealera lub serwisu.</w:t>
      </w:r>
    </w:p>
    <w:p w14:paraId="22172D30" w14:textId="77777777" w:rsidR="0063359A" w:rsidRP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</w:p>
    <w:p w14:paraId="5AD0128D" w14:textId="6E2D5F1B" w:rsid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</w:pPr>
      <w:r w:rsidRPr="0063359A"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  <w:t>Znaki towarowe</w:t>
      </w:r>
    </w:p>
    <w:p w14:paraId="557F293D" w14:textId="77777777" w:rsidR="0063359A" w:rsidRP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</w:pPr>
    </w:p>
    <w:p w14:paraId="7B648D27" w14:textId="77777777" w:rsid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Jeżeli nie zaznaczono inaczej, wszystkie znaki umieszczone na stronach internetowych Mercedes-Benz są prawnie chronionymi znakami towarowymi Mercedes-Benz Group AG, dotyczy to w szczególności nazw modeli, jak również znaków logo oraz emblematów.</w:t>
      </w:r>
    </w:p>
    <w:p w14:paraId="50081B18" w14:textId="77777777" w:rsid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</w:p>
    <w:p w14:paraId="56A78FE4" w14:textId="77777777" w:rsidR="0063359A" w:rsidRP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</w:p>
    <w:p w14:paraId="5B87FA84" w14:textId="7547F770" w:rsid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</w:pPr>
      <w:r w:rsidRPr="0063359A"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  <w:lastRenderedPageBreak/>
        <w:t>Prawa licencyjne</w:t>
      </w:r>
    </w:p>
    <w:p w14:paraId="61F10389" w14:textId="77777777" w:rsidR="0063359A" w:rsidRP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</w:pPr>
    </w:p>
    <w:p w14:paraId="0AA282C8" w14:textId="77777777" w:rsid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Mercedes-Benz Group AG chce zaoferować Ci innowacyjny i informacyjny program internetowy. Dlatego też mamy nadzieję, że tak samo jak my cieszysz się z naszego kreatywnego ukształtowania tego programu internetowego. Prosimy jednak o zrozumienie z Twojej strony dla faktu, że Mercedes-Benz Group AG musi chronić swoją własność intelektualną, włącznie z patentami, znakami towarowymi i prawami autorskimi, oraz iż te strony internetowe nie przyznają nikomu z ich odbiorców żadnych praw licencyjnych do własności intelektualnej Mercedes-Benz Group AG.</w:t>
      </w:r>
    </w:p>
    <w:p w14:paraId="01FF3217" w14:textId="77777777" w:rsidR="0063359A" w:rsidRP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</w:p>
    <w:p w14:paraId="177FEA8E" w14:textId="363159DF" w:rsid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</w:pPr>
      <w:r w:rsidRPr="0063359A"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  <w:t>Wypowiedzi dotyczące przyszłości</w:t>
      </w:r>
    </w:p>
    <w:p w14:paraId="3C430077" w14:textId="77777777" w:rsidR="0063359A" w:rsidRP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</w:pPr>
    </w:p>
    <w:p w14:paraId="21561065" w14:textId="77777777" w:rsid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 xml:space="preserve">Wiele stron, raportów, przeglądów, prezentacji, transmisji audio i wideo różnych imprez i spotkań internetowych oraz liczne dokumenty na tych stronach internetowych zawierają wypowiedzi dotyczące przyszłości, które oparte są na przekonaniach kierownictwa Mercedes-Benz Group AG. Poprzez użycie na tych stronach internetowych takich wyrażeń jak „oczekiwać”, „oceniać”, „liczyć na”, „zamierzać” i „planować” zamierza się, wskazywać wypowiedzi dotyczące przyszłości. Tego rodzaju wypowiedzi odzwierciedlają poglądy Mercedes-Benz Group AG, z chwili gdy zostały dokonane, odnośnie przyszłych zdarzeń i obarczone są pewnymi </w:t>
      </w:r>
      <w:proofErr w:type="spellStart"/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ryzykami</w:t>
      </w:r>
      <w:proofErr w:type="spellEnd"/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 xml:space="preserve"> i niepewnością. Do takich czynników należą oprócz innych zmian w ogólnych warunkach ekonomicznych i w ramowych warunkach handlowych, także zmiany w kursach walut i w poziomie stóp procentowych, wprowadzenie na rynek produktów konkurencyjnych, niewystarczająca akceptacja dla nowych produktów i usług oraz zmiany w strategii przedsiębiorstwa. Jak wyjaśniono w raportach Mercedes-Benz Group AG złożonych amerykańskim organom nadzoru giełdowego U.S. Securities and Exchange </w:t>
      </w:r>
      <w:proofErr w:type="spellStart"/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Commision</w:t>
      </w:r>
      <w:proofErr w:type="spellEnd"/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 xml:space="preserve"> (włącznie z najnowszym rocznym sprawozdaniem z działalności formularz 20-F), wiele czynników może prowadzić do tego, iż rzeczywiste wyniki mogą znacząco różnić się od podanych tu przewidywań. Mercedes-Benz Group AG oddala od siebie jakikolwiek zamiar lub obowiązek, do aktualizowania tych wypowiedzi, które dotyczą przyszłości.</w:t>
      </w:r>
    </w:p>
    <w:p w14:paraId="4976E679" w14:textId="77777777" w:rsidR="0063359A" w:rsidRP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</w:p>
    <w:p w14:paraId="7DBFBF1D" w14:textId="27F53501" w:rsid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</w:pPr>
      <w:r w:rsidRPr="0063359A"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  <w:t>Odpowiedzialność cywilna</w:t>
      </w:r>
    </w:p>
    <w:p w14:paraId="1CE8BF07" w14:textId="77777777" w:rsidR="0063359A" w:rsidRPr="0063359A" w:rsidRDefault="0063359A" w:rsidP="0063359A">
      <w:pPr>
        <w:spacing w:after="0" w:line="240" w:lineRule="auto"/>
        <w:outlineLvl w:val="1"/>
        <w:rPr>
          <w:rFonts w:ascii="var(--wb-font-title)" w:eastAsia="Times New Roman" w:hAnsi="var(--wb-font-title)" w:cs="Times New Roman"/>
          <w:kern w:val="0"/>
          <w:sz w:val="36"/>
          <w:szCs w:val="36"/>
          <w:lang w:eastAsia="pl-PL"/>
          <w14:ligatures w14:val="none"/>
        </w:rPr>
      </w:pPr>
    </w:p>
    <w:p w14:paraId="4013C63A" w14:textId="77777777" w:rsidR="0063359A" w:rsidRP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Informacje i dane zawarte na tych stronach nie stanowią zapewnienia czy gwarancji, ani wyraźnie ani w sposób dorozumiany. W szczególności nie stanowią dorozumianego przyrzeczenia bądź gwarancji w odniesieniu do cech, przydatności do handlu, przydatności do określonych celów lub nienaruszenia ustaw i patentów.</w:t>
      </w:r>
    </w:p>
    <w:p w14:paraId="51A8814D" w14:textId="77777777" w:rsidR="0063359A" w:rsidRP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Na naszych stronach internetowych znajdziesz również linki do innych stron internetowych. Chcemy zwrócić Ci uwagę na to, iż nie mamy żadnego wpływu na ukształtowanie i zawartość stron, które odwiedzasz poprzez te linki. Dlatego też nie możemy przejąć odpowiedzialności za aktualność, poprawność, kompletność lub jakość zamieszczonych tam informacji. Z tego też powodu dystansujemy się niniejszym do wszelkich treści i zawartości tych stron internetowych. Niniejsze oświadczenie obowiązuje w odniesieniu do wszystkich zawartych na naszych stronach internetowych linków do zewnętrznych stron internetowych i ich zawartości.</w:t>
      </w:r>
    </w:p>
    <w:p w14:paraId="487545D5" w14:textId="77777777" w:rsidR="0063359A" w:rsidRP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lastRenderedPageBreak/>
        <w:t>Wskazówka dot. § 36 ustawy o rozwiązywaniu sporów konsumenckich (VSBG) dotyczy użytkowników z Niemiec: firma Mercedes-Benz Group AG nie uczestniczy w postępowaniu rozstrzygającym spór przed sądem polubownym użytkownika w myśl VSBG i nie jest do tego zobowiązana.</w:t>
      </w:r>
    </w:p>
    <w:p w14:paraId="5604D492" w14:textId="77777777" w:rsidR="0063359A" w:rsidRP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 xml:space="preserve">Informacje na temat systemu internetowego rozstrzygania sporów Komisja Europejska stworzyła platformę do rozwiązywania sporów przez </w:t>
      </w:r>
      <w:proofErr w:type="spellStart"/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internet</w:t>
      </w:r>
      <w:proofErr w:type="spellEnd"/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 xml:space="preserve"> (tzw. „Platforma ODR“). Platforma ODR pomaga konsumentom i sprzedającym w rozstrzyganiu sporów dotyczących zakupów przez </w:t>
      </w:r>
      <w:proofErr w:type="spellStart"/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internet</w:t>
      </w:r>
      <w:proofErr w:type="spellEnd"/>
      <w:r w:rsidRPr="0063359A"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  <w:t>. Jest ona dostępna pod poniższym linkiem:</w:t>
      </w:r>
    </w:p>
    <w:p w14:paraId="125BB6DD" w14:textId="77777777" w:rsidR="0063359A" w:rsidRPr="0063359A" w:rsidRDefault="0063359A" w:rsidP="0063359A">
      <w:pPr>
        <w:spacing w:after="0" w:line="240" w:lineRule="auto"/>
        <w:rPr>
          <w:rFonts w:ascii="var(--wb-font-text)" w:eastAsia="Times New Roman" w:hAnsi="var(--wb-font-text)" w:cs="Times New Roman"/>
          <w:kern w:val="0"/>
          <w:sz w:val="24"/>
          <w:szCs w:val="24"/>
          <w:lang w:eastAsia="pl-PL"/>
          <w14:ligatures w14:val="none"/>
        </w:rPr>
      </w:pPr>
      <w:hyperlink r:id="rId4" w:tgtFrame="_blank" w:history="1">
        <w:r w:rsidRPr="0063359A">
          <w:rPr>
            <w:rFonts w:ascii="var(--wb-font-text)" w:eastAsia="Times New Roman" w:hAnsi="var(--wb-font-text)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https://ec.europa.eu/consumers/odr</w:t>
        </w:r>
      </w:hyperlink>
    </w:p>
    <w:p w14:paraId="164AB5C6" w14:textId="77777777" w:rsidR="00050D00" w:rsidRDefault="00050D00"/>
    <w:sectPr w:rsidR="0005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ar(--wb-font-title)">
    <w:altName w:val="Cambria"/>
    <w:panose1 w:val="00000000000000000000"/>
    <w:charset w:val="00"/>
    <w:family w:val="roman"/>
    <w:notTrueType/>
    <w:pitch w:val="default"/>
  </w:font>
  <w:font w:name="var(--wb-font-text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9A"/>
    <w:rsid w:val="00050D00"/>
    <w:rsid w:val="0063359A"/>
    <w:rsid w:val="0075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A274"/>
  <w15:chartTrackingRefBased/>
  <w15:docId w15:val="{ED152074-8C94-41DC-8656-81D6B8F7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3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359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3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3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8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3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8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consumers/od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Filipkowska</dc:creator>
  <cp:keywords/>
  <dc:description/>
  <cp:lastModifiedBy>Paula Filipkowska</cp:lastModifiedBy>
  <cp:revision>1</cp:revision>
  <dcterms:created xsi:type="dcterms:W3CDTF">2024-04-16T10:37:00Z</dcterms:created>
  <dcterms:modified xsi:type="dcterms:W3CDTF">2024-04-16T10:55:00Z</dcterms:modified>
</cp:coreProperties>
</file>